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7" w:rsidRDefault="00E40995">
      <w:pPr>
        <w:pStyle w:val="Heading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Heading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854BAA" w:rsidP="00854BAA">
      <w:pPr>
        <w:tabs>
          <w:tab w:val="left" w:pos="7797"/>
        </w:tabs>
        <w:spacing w:before="206" w:line="664" w:lineRule="auto"/>
        <w:ind w:left="2127" w:right="3305" w:hanging="142"/>
        <w:jc w:val="center"/>
        <w:rPr>
          <w:b/>
          <w:sz w:val="28"/>
        </w:rPr>
      </w:pPr>
      <w:r w:rsidRPr="00854BAA">
        <w:rPr>
          <w:b/>
          <w:bCs/>
          <w:sz w:val="28"/>
          <w:szCs w:val="28"/>
        </w:rPr>
        <w:t>NМ 4325</w:t>
      </w:r>
      <w:r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 xml:space="preserve">«Салық </w:t>
      </w:r>
      <w:r w:rsidRPr="00854BAA">
        <w:rPr>
          <w:b/>
          <w:sz w:val="28"/>
          <w:szCs w:val="28"/>
        </w:rPr>
        <w:t>менеджмент</w:t>
      </w:r>
      <w:r w:rsidR="00E40995" w:rsidRPr="009F1E5C">
        <w:rPr>
          <w:b/>
          <w:sz w:val="28"/>
          <w:szCs w:val="28"/>
        </w:rPr>
        <w:t>і»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Heading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DC4F0F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854BAA">
      <w:pPr>
        <w:pStyle w:val="a3"/>
        <w:spacing w:line="242" w:lineRule="auto"/>
        <w:ind w:right="4"/>
        <w:jc w:val="center"/>
      </w:pPr>
      <w:r>
        <w:t>«5B050</w:t>
      </w:r>
      <w:r w:rsidRPr="00854BAA">
        <w:t>9</w:t>
      </w:r>
      <w:r w:rsidR="00E40995">
        <w:t>00 –</w:t>
      </w:r>
      <w:r w:rsidRPr="00854BAA">
        <w:t>Қаржы</w:t>
      </w:r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Heading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854BAA">
        <w:t xml:space="preserve">Қаржы 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Default="001F3A67">
      <w:pPr>
        <w:jc w:val="center"/>
        <w:sectPr w:rsidR="001F3A67">
          <w:pgSz w:w="11910" w:h="16840"/>
          <w:pgMar w:top="1360" w:right="740" w:bottom="280" w:left="1600" w:header="720" w:footer="720" w:gutter="0"/>
          <w:cols w:space="720"/>
        </w:sectPr>
      </w:pPr>
    </w:p>
    <w:p w:rsidR="001F3A67" w:rsidRDefault="00E40995">
      <w:pPr>
        <w:pStyle w:val="Heading1"/>
        <w:spacing w:before="72" w:line="278" w:lineRule="auto"/>
        <w:ind w:left="2029" w:hanging="591"/>
        <w:jc w:val="left"/>
      </w:pPr>
      <w:r>
        <w:rPr>
          <w:spacing w:val="-1"/>
        </w:rPr>
        <w:lastRenderedPageBreak/>
        <w:t>«Салық</w:t>
      </w:r>
      <w:r>
        <w:rPr>
          <w:spacing w:val="-11"/>
        </w:rPr>
        <w:t xml:space="preserve"> </w:t>
      </w:r>
      <w:r w:rsidR="00DC4F0F" w:rsidRPr="00DC4F0F">
        <w:rPr>
          <w:spacing w:val="-1"/>
        </w:rPr>
        <w:t>менеджмент</w:t>
      </w:r>
      <w:r>
        <w:rPr>
          <w:spacing w:val="-1"/>
        </w:rPr>
        <w:t>і»</w:t>
      </w:r>
      <w:r>
        <w:rPr>
          <w:spacing w:val="-9"/>
        </w:rPr>
        <w:t xml:space="preserve"> </w:t>
      </w:r>
      <w:r>
        <w:t>пәні</w:t>
      </w:r>
      <w:r>
        <w:rPr>
          <w:spacing w:val="-12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17"/>
        </w:rPr>
        <w:t xml:space="preserve"> </w:t>
      </w:r>
      <w:r>
        <w:t>емтихан</w:t>
      </w:r>
      <w:r>
        <w:rPr>
          <w:spacing w:val="-18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Heading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  <w:szCs w:val="28"/>
        </w:rPr>
      </w:pPr>
      <w:r w:rsidRPr="00DC4F0F">
        <w:rPr>
          <w:sz w:val="28"/>
          <w:szCs w:val="28"/>
        </w:rPr>
        <w:t>Салық менеджментінің теориясы және оны ұйымдастыру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  <w:szCs w:val="28"/>
        </w:rPr>
      </w:pPr>
      <w:r w:rsidRPr="00DC4F0F">
        <w:rPr>
          <w:snapToGrid w:val="0"/>
          <w:sz w:val="28"/>
          <w:szCs w:val="28"/>
        </w:rPr>
        <w:t>Қазақстан Республикасында мемлекеттік салық менеджментін ұйымдастыру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  <w:szCs w:val="28"/>
        </w:rPr>
      </w:pPr>
      <w:r w:rsidRPr="00DC4F0F">
        <w:rPr>
          <w:sz w:val="28"/>
          <w:szCs w:val="28"/>
        </w:rPr>
        <w:t>Бюджеттік-салықтық жоспарлау және болжамдау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Жалпымемлекеттік салықтық жоспарлаудың кезеңдері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  <w:szCs w:val="28"/>
        </w:rPr>
      </w:pPr>
      <w:r w:rsidRPr="00DC4F0F">
        <w:rPr>
          <w:sz w:val="28"/>
          <w:szCs w:val="28"/>
        </w:rPr>
        <w:t>Корпоративтік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Кәсіпорындардағы ішкі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  <w:szCs w:val="28"/>
        </w:rPr>
      </w:pPr>
      <w:r w:rsidRPr="00DC4F0F">
        <w:rPr>
          <w:snapToGrid w:val="0"/>
          <w:sz w:val="28"/>
          <w:szCs w:val="28"/>
        </w:rPr>
        <w:t>Кәсіпорындардағы салық ауыртпалығын бағалау әдісі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Кәсіпорындардағы стартегиялық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  <w:szCs w:val="28"/>
        </w:rPr>
      </w:pPr>
      <w:r w:rsidRPr="00DC4F0F">
        <w:rPr>
          <w:sz w:val="28"/>
          <w:szCs w:val="28"/>
        </w:rPr>
        <w:t>Халықаралық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DC4F0F">
        <w:rPr>
          <w:sz w:val="28"/>
          <w:szCs w:val="28"/>
        </w:rPr>
        <w:t>Корпоративтік халықаралық салықтық жоспарлау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DC4F0F">
        <w:rPr>
          <w:sz w:val="28"/>
          <w:szCs w:val="28"/>
        </w:rPr>
        <w:t>Корпоративтік салық менеджменті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Салықтық оңтайландыру және компаниядағы салықтық оңтайландыру принциптері</w:t>
      </w:r>
      <w:r w:rsidR="00E40995" w:rsidRPr="00DC4F0F">
        <w:rPr>
          <w:sz w:val="28"/>
          <w:szCs w:val="28"/>
        </w:rPr>
        <w:t>.</w:t>
      </w:r>
    </w:p>
    <w:p w:rsidR="001F3A67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bCs/>
          <w:snapToGrid w:val="0"/>
          <w:sz w:val="28"/>
          <w:szCs w:val="28"/>
        </w:rPr>
        <w:t>Кәсіпорындардағы салық ауыртпалығын бағалау әдісі</w:t>
      </w:r>
      <w:r w:rsidR="00E40995" w:rsidRPr="00DC4F0F">
        <w:rPr>
          <w:sz w:val="28"/>
          <w:szCs w:val="28"/>
        </w:rPr>
        <w:t>.</w:t>
      </w:r>
    </w:p>
    <w:p w:rsidR="00DC4F0F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Ұйымның есеп саясаты және салықтық жоспарлау</w:t>
      </w:r>
    </w:p>
    <w:p w:rsidR="00DC4F0F" w:rsidRPr="00DC4F0F" w:rsidRDefault="00DC4F0F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  <w:szCs w:val="28"/>
        </w:rPr>
      </w:pPr>
      <w:r w:rsidRPr="00DC4F0F">
        <w:rPr>
          <w:sz w:val="28"/>
          <w:szCs w:val="28"/>
        </w:rPr>
        <w:t>Халықаралық салықтық келісімдер және олардың халықаралық </w:t>
      </w:r>
      <w:hyperlink r:id="rId5" w:history="1">
        <w:r w:rsidRPr="00DC4F0F">
          <w:rPr>
            <w:rStyle w:val="a8"/>
            <w:color w:val="auto"/>
            <w:sz w:val="28"/>
            <w:szCs w:val="28"/>
            <w:u w:val="none"/>
          </w:rPr>
          <w:t>салықтық жоспарлаудағы ролі</w:t>
        </w:r>
      </w:hyperlink>
    </w:p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1" w:lineRule="exact"/>
        <w:ind w:left="567" w:firstLine="242"/>
        <w:jc w:val="both"/>
        <w:rPr>
          <w:sz w:val="28"/>
          <w:szCs w:val="28"/>
        </w:rPr>
      </w:pPr>
      <w:r w:rsidRPr="008E1F82">
        <w:rPr>
          <w:iCs/>
          <w:sz w:val="28"/>
          <w:szCs w:val="28"/>
        </w:rPr>
        <w:t>Салық жүйесіндегі салықтық менеджменттің  қолдану ерекшеліктерін,  салықтық реттеу және басқару жүйесін толығымен біледі;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before="2"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bCs/>
          <w:sz w:val="28"/>
          <w:szCs w:val="28"/>
        </w:rPr>
        <w:t>Бюджеттік – салықтық жоспарлау және болжамдау, жалпы мемлекеттік салық кезеңдері ұйымдастыра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Корпоративті салық менеджментін ұйымдастыру және </w:t>
      </w:r>
      <w:r w:rsidRPr="008E1F82">
        <w:rPr>
          <w:bCs/>
          <w:sz w:val="28"/>
          <w:szCs w:val="28"/>
        </w:rPr>
        <w:t>корпоративтік с</w:t>
      </w:r>
      <w:r w:rsidRPr="008E1F82">
        <w:rPr>
          <w:iCs/>
          <w:sz w:val="28"/>
          <w:szCs w:val="28"/>
        </w:rPr>
        <w:t>алықтық жоспарлаудың қатысушыларын талдай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>Салықтық оңтайландыру және  салық ауыртпалығын бағалайды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Кәсіпорындағы салық саясатын, стратегиялық, </w:t>
      </w:r>
      <w:r w:rsidRPr="008E1F82">
        <w:rPr>
          <w:bCs/>
          <w:sz w:val="28"/>
          <w:szCs w:val="28"/>
        </w:rPr>
        <w:t>халықаралық салықтық және корпоративті салықтық жоспарлауды талдау және меңгеру</w:t>
      </w:r>
      <w:r w:rsidR="00E40995" w:rsidRPr="008E1F82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Heading1"/>
        <w:spacing w:line="321" w:lineRule="exact"/>
        <w:ind w:left="810"/>
        <w:jc w:val="left"/>
      </w:pPr>
      <w:r>
        <w:t>«</w:t>
      </w:r>
      <w:r w:rsidR="00AB0AF1">
        <w:rPr>
          <w:spacing w:val="-1"/>
        </w:rPr>
        <w:t>Салық</w:t>
      </w:r>
      <w:r w:rsidR="00AB0AF1">
        <w:rPr>
          <w:spacing w:val="-11"/>
        </w:rPr>
        <w:t xml:space="preserve"> </w:t>
      </w:r>
      <w:r w:rsidR="00AB0AF1" w:rsidRPr="00DC4F0F">
        <w:rPr>
          <w:spacing w:val="-1"/>
        </w:rPr>
        <w:t>менеджмент</w:t>
      </w:r>
      <w:r w:rsidR="00AB0AF1">
        <w:rPr>
          <w:spacing w:val="-1"/>
        </w:rPr>
        <w:t>і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AB0AF1" w:rsidRPr="00AB0AF1" w:rsidRDefault="00AB0AF1" w:rsidP="00AB0AF1">
      <w:pPr>
        <w:ind w:firstLine="426"/>
        <w:jc w:val="both"/>
        <w:rPr>
          <w:iCs/>
          <w:sz w:val="28"/>
          <w:szCs w:val="28"/>
        </w:rPr>
      </w:pPr>
      <w:r w:rsidRPr="00AB0AF1">
        <w:rPr>
          <w:iCs/>
          <w:sz w:val="28"/>
          <w:szCs w:val="28"/>
        </w:rPr>
        <w:t>1. Салық менеджментінің экономикалық мәні, табыиғаты және оның қажеттілігі</w:t>
      </w:r>
    </w:p>
    <w:p w:rsidR="00AB0AF1" w:rsidRPr="00AB0AF1" w:rsidRDefault="00AB0AF1" w:rsidP="00AB0AF1">
      <w:pPr>
        <w:ind w:firstLine="426"/>
        <w:jc w:val="both"/>
        <w:rPr>
          <w:iCs/>
          <w:sz w:val="28"/>
          <w:szCs w:val="28"/>
        </w:rPr>
      </w:pPr>
      <w:r w:rsidRPr="00AB0AF1">
        <w:rPr>
          <w:iCs/>
          <w:sz w:val="28"/>
          <w:szCs w:val="28"/>
        </w:rPr>
        <w:t>2. Салықтық жоспарлау салық механизмінің негізгі элементі ретінде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iCs/>
          <w:sz w:val="28"/>
          <w:szCs w:val="28"/>
        </w:rPr>
        <w:t>3. Салық менеджментінің түрлері</w:t>
      </w:r>
      <w:r w:rsidRPr="00AB0AF1">
        <w:rPr>
          <w:sz w:val="28"/>
          <w:szCs w:val="28"/>
          <w:lang w:eastAsia="ko-KR"/>
        </w:rPr>
        <w:t xml:space="preserve">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4.Салықтық жоспарлаудың қажеттілігі немен негізделеді?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5.Салықтық жоспарлаудың негізгі функцияларын атаңыз.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6.Салықтық жоспарлаудың салық механизмінің басқа да элементтерімен байланысы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>7.Салықтық жоспарлаудың мақсаттары қалай жіктеледі.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  <w:lang w:eastAsia="ko-KR"/>
        </w:rPr>
      </w:pPr>
      <w:r w:rsidRPr="00AB0AF1">
        <w:rPr>
          <w:sz w:val="28"/>
          <w:szCs w:val="28"/>
          <w:lang w:eastAsia="ko-KR"/>
        </w:rPr>
        <w:t xml:space="preserve">8.Мемлекеттік салық менеджменті дегеніміз не, оның әдістері мен </w:t>
      </w:r>
      <w:r w:rsidRPr="00AB0AF1">
        <w:rPr>
          <w:sz w:val="28"/>
          <w:szCs w:val="28"/>
          <w:lang w:eastAsia="ko-KR"/>
        </w:rPr>
        <w:lastRenderedPageBreak/>
        <w:t>тәсілдері?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9.Салық механизмінің негізгі элементтері және олардың сипаттамасы.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10. Салықтық бақылау менеджменті әдістері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11.Салықтық реттеу менеджментінің артықшылықтары мен қажеттігі </w:t>
      </w:r>
    </w:p>
    <w:p w:rsidR="00AB0AF1" w:rsidRPr="00AB0AF1" w:rsidRDefault="00AB0AF1" w:rsidP="00AB0AF1">
      <w:pPr>
        <w:pStyle w:val="a4"/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12.Корпоративті салықтық менеджмент.</w:t>
      </w:r>
    </w:p>
    <w:p w:rsidR="00AB0AF1" w:rsidRPr="00AB0AF1" w:rsidRDefault="00AB0AF1" w:rsidP="00AB0AF1">
      <w:pPr>
        <w:pStyle w:val="a4"/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13.Корпоративті табыс салығының құралу негіздері: төлеушілер, салық салу объектісі. </w:t>
      </w:r>
    </w:p>
    <w:p w:rsidR="00AB0AF1" w:rsidRPr="00AB0AF1" w:rsidRDefault="00AB0AF1" w:rsidP="00AB0AF1">
      <w:pPr>
        <w:pStyle w:val="a4"/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14.Жиынтық жылдық табыс; оның құрамы мен құрылымы, Жиынтық табыс салығын түзету.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15</w:t>
      </w:r>
      <w:r w:rsidRPr="00AB0AF1">
        <w:rPr>
          <w:sz w:val="28"/>
          <w:szCs w:val="28"/>
        </w:rPr>
        <w:t xml:space="preserve">.Салық реформаларына ынталандыру.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16</w:t>
      </w:r>
      <w:r w:rsidRPr="00AB0AF1">
        <w:rPr>
          <w:sz w:val="28"/>
          <w:szCs w:val="28"/>
        </w:rPr>
        <w:t xml:space="preserve">.Салықтық </w:t>
      </w:r>
      <w:proofErr w:type="gramStart"/>
      <w:r w:rsidRPr="00AB0AF1">
        <w:rPr>
          <w:sz w:val="28"/>
          <w:szCs w:val="28"/>
        </w:rPr>
        <w:t>реформалауды</w:t>
      </w:r>
      <w:proofErr w:type="gramEnd"/>
      <w:r w:rsidRPr="00AB0AF1">
        <w:rPr>
          <w:sz w:val="28"/>
          <w:szCs w:val="28"/>
        </w:rPr>
        <w:t xml:space="preserve">ң қағидалары.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 xml:space="preserve">17.Салық заңнамасын жетілдіру проблемалары.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sz w:val="28"/>
          <w:szCs w:val="28"/>
        </w:rPr>
        <w:t>18.Салық кодексі және қазақстандық салық салуды оңтайландырудың болашағы.</w:t>
      </w:r>
    </w:p>
    <w:p w:rsidR="00AB0AF1" w:rsidRPr="00AB0AF1" w:rsidRDefault="00AB0AF1" w:rsidP="00AB0AF1">
      <w:pPr>
        <w:ind w:firstLine="426"/>
        <w:jc w:val="both"/>
        <w:rPr>
          <w:bCs/>
          <w:sz w:val="28"/>
          <w:szCs w:val="28"/>
        </w:rPr>
      </w:pPr>
      <w:r w:rsidRPr="00AB0AF1">
        <w:rPr>
          <w:bCs/>
          <w:sz w:val="28"/>
          <w:szCs w:val="28"/>
        </w:rPr>
        <w:t xml:space="preserve">19.Жеке халықаралық салықтық жоспарлау </w:t>
      </w:r>
    </w:p>
    <w:p w:rsidR="00AB0AF1" w:rsidRPr="00AB0AF1" w:rsidRDefault="00AB0AF1" w:rsidP="00AB0AF1">
      <w:pPr>
        <w:ind w:firstLine="426"/>
        <w:jc w:val="both"/>
        <w:rPr>
          <w:sz w:val="28"/>
          <w:szCs w:val="28"/>
        </w:rPr>
      </w:pPr>
      <w:r w:rsidRPr="00AB0AF1">
        <w:rPr>
          <w:bCs/>
          <w:sz w:val="28"/>
          <w:szCs w:val="28"/>
        </w:rPr>
        <w:t>20.Халықаралық конвенциялардың ерекшеліктері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sz w:val="28"/>
          <w:szCs w:val="28"/>
          <w:lang w:eastAsia="ko-KR"/>
        </w:rPr>
        <w:t>21.</w:t>
      </w:r>
      <w:r w:rsidRPr="00AB0AF1">
        <w:rPr>
          <w:b/>
          <w:sz w:val="28"/>
          <w:szCs w:val="28"/>
        </w:rPr>
        <w:t xml:space="preserve"> </w:t>
      </w:r>
      <w:r w:rsidRPr="00AB0AF1">
        <w:rPr>
          <w:bCs/>
          <w:snapToGrid w:val="0"/>
          <w:sz w:val="28"/>
          <w:szCs w:val="28"/>
        </w:rPr>
        <w:t>Кәсіпорындардағы салық ауыртпалығын бағалау әдісі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22. кәсіпорындардағы салықтық менеджментін басқару әдістері мен тәртібі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23. Салықтық менеджментін ұйымдастырудың рыноктық экономикаға  әсерін ашу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24. Салықтық мегнеджментінің  салық салу жүйесімен өзара байланысы</w:t>
      </w:r>
    </w:p>
    <w:p w:rsidR="00AB0AF1" w:rsidRPr="00AB0AF1" w:rsidRDefault="00AB0AF1" w:rsidP="00AB0AF1">
      <w:pPr>
        <w:ind w:firstLine="426"/>
        <w:jc w:val="both"/>
        <w:rPr>
          <w:bCs/>
          <w:snapToGrid w:val="0"/>
          <w:sz w:val="28"/>
          <w:szCs w:val="28"/>
        </w:rPr>
      </w:pPr>
      <w:r w:rsidRPr="00AB0AF1">
        <w:rPr>
          <w:bCs/>
          <w:snapToGrid w:val="0"/>
          <w:sz w:val="28"/>
          <w:szCs w:val="28"/>
        </w:rPr>
        <w:t>25. Корпорациялардың салықтық басқару жүйесінің  жоспарының құрылымы</w:t>
      </w:r>
    </w:p>
    <w:p w:rsidR="00647EEA" w:rsidRDefault="00647EEA">
      <w:pPr>
        <w:rPr>
          <w:sz w:val="28"/>
          <w:lang w:val="ru-RU"/>
        </w:rPr>
      </w:pPr>
    </w:p>
    <w:p w:rsidR="00854BAA" w:rsidRDefault="00854BAA">
      <w:pPr>
        <w:rPr>
          <w:sz w:val="28"/>
          <w:lang w:val="ru-RU"/>
        </w:rPr>
      </w:pPr>
    </w:p>
    <w:p w:rsidR="00854BAA" w:rsidRDefault="00854BAA">
      <w:pPr>
        <w:rPr>
          <w:sz w:val="28"/>
          <w:lang w:val="ru-RU"/>
        </w:rPr>
      </w:pPr>
    </w:p>
    <w:p w:rsidR="00854BAA" w:rsidRPr="00647EEA" w:rsidRDefault="00854BAA" w:rsidP="00854BA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854BAA" w:rsidRPr="008E1F82" w:rsidRDefault="00854BAA" w:rsidP="00854BAA">
      <w:pPr>
        <w:pStyle w:val="p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75" w:firstLine="0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 xml:space="preserve">Салық және бюжетке төленетін басқа да міндетті төлемдер туралы </w:t>
      </w:r>
    </w:p>
    <w:p w:rsidR="00854BAA" w:rsidRPr="008E1F82" w:rsidRDefault="00854BAA" w:rsidP="00854BAA">
      <w:pPr>
        <w:pStyle w:val="pc"/>
        <w:shd w:val="clear" w:color="auto" w:fill="FFFFFF"/>
        <w:spacing w:before="0" w:beforeAutospacing="0" w:after="0" w:afterAutospacing="0"/>
        <w:ind w:left="175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>Салық кодексі</w:t>
      </w:r>
      <w:r w:rsidRPr="008E1F82">
        <w:rPr>
          <w:rStyle w:val="s3"/>
          <w:rFonts w:eastAsia="Calibri"/>
          <w:i/>
          <w:iCs/>
          <w:lang w:val="kk-KZ"/>
        </w:rPr>
        <w:t xml:space="preserve"> (2021.01.01. берілген </w:t>
      </w:r>
      <w:hyperlink r:id="rId6" w:tooltip="«Салық және бюджетке төленетін басқа да міндетті төлемдер туралы» 2017 жылғы 25 желтоқсандағы № 120-ІV Салық кодексі (Салық кодексі) (2021.24.06. берілген өзгерістер мен толықтырулармен)" w:history="1">
        <w:r w:rsidRPr="008E1F82">
          <w:rPr>
            <w:rStyle w:val="a8"/>
            <w:i/>
            <w:iCs/>
            <w:color w:val="auto"/>
            <w:u w:val="none"/>
            <w:lang w:val="kk-KZ"/>
          </w:rPr>
          <w:t>өзгерістер мен толықтырулармен</w:t>
        </w:r>
      </w:hyperlink>
      <w:r w:rsidRPr="008E1F82">
        <w:rPr>
          <w:rStyle w:val="s3"/>
          <w:rFonts w:eastAsia="Calibri"/>
          <w:i/>
          <w:iCs/>
          <w:lang w:val="kk-KZ"/>
        </w:rPr>
        <w:t>)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 «Республикалық бюджет туралы» ҚР Заңы 01.01.2019ж жағдай бойынша.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Ермекбаева Б.Ж., Нурумов А.А. Оқулық «Салық және салық салу», Қазақ Университеті. – 2015 г. 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>Налоговое администрирование. Ермекбаева Б.Ж., Мустафина А.К., Қазақ Университеті. – 2015 г.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менеджменті</w:t>
      </w:r>
      <w:r w:rsidRPr="008E1F82">
        <w:rPr>
          <w:sz w:val="24"/>
          <w:szCs w:val="24"/>
          <w:shd w:val="clear" w:color="auto" w:fill="FFFFFF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rFonts w:ascii="Verdana" w:hAnsi="Verdana"/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және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</w:t>
      </w:r>
      <w:r w:rsidRPr="008E1F82">
        <w:rPr>
          <w:sz w:val="24"/>
          <w:szCs w:val="24"/>
          <w:shd w:val="clear" w:color="auto" w:fill="FFFFFF"/>
        </w:rPr>
        <w:t>у: оқу құралы / С. Т. Жакипбеков, А. С. Канатов ; ҚР Білім </w:t>
      </w:r>
      <w:r w:rsidRPr="008E1F82">
        <w:rPr>
          <w:rStyle w:val="bolighting"/>
          <w:sz w:val="24"/>
          <w:szCs w:val="24"/>
          <w:shd w:val="clear" w:color="auto" w:fill="FFFFFF"/>
        </w:rPr>
        <w:t>және</w:t>
      </w:r>
      <w:r w:rsidRPr="008E1F82">
        <w:rPr>
          <w:sz w:val="24"/>
          <w:szCs w:val="24"/>
          <w:shd w:val="clear" w:color="auto" w:fill="FFFFFF"/>
        </w:rPr>
        <w:t> ғылым м-гі. - Алматы : EXLIBRIS, 2016. - 206 б. </w:t>
      </w:r>
    </w:p>
    <w:p w:rsidR="00854BAA" w:rsidRPr="008E1F82" w:rsidRDefault="00854BAA" w:rsidP="00854BA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8E1F82">
        <w:rPr>
          <w:rFonts w:eastAsia="Calibri"/>
          <w:b/>
          <w:sz w:val="24"/>
          <w:szCs w:val="24"/>
        </w:rPr>
        <w:t>Интернет</w:t>
      </w:r>
      <w:r w:rsidRPr="008E1F82">
        <w:rPr>
          <w:rFonts w:eastAsia="Calibri"/>
          <w:b/>
          <w:sz w:val="24"/>
          <w:szCs w:val="24"/>
          <w:lang w:val="be-BY"/>
        </w:rPr>
        <w:t>-</w:t>
      </w:r>
      <w:r w:rsidRPr="008E1F82">
        <w:rPr>
          <w:rFonts w:eastAsia="Calibri"/>
          <w:b/>
          <w:sz w:val="24"/>
          <w:szCs w:val="24"/>
        </w:rPr>
        <w:t>ресурстары</w:t>
      </w:r>
      <w:r w:rsidRPr="008E1F82">
        <w:rPr>
          <w:rStyle w:val="shorttext"/>
          <w:b/>
          <w:sz w:val="24"/>
          <w:szCs w:val="24"/>
        </w:rPr>
        <w:t>:</w:t>
      </w:r>
      <w:r w:rsidRPr="008E1F82">
        <w:rPr>
          <w:rStyle w:val="shorttext"/>
          <w:sz w:val="24"/>
          <w:szCs w:val="24"/>
        </w:rPr>
        <w:t xml:space="preserve"> </w:t>
      </w:r>
      <w:hyperlink r:id="rId7" w:history="1">
        <w:r w:rsidRPr="008E1F82">
          <w:rPr>
            <w:rStyle w:val="a8"/>
            <w:color w:val="auto"/>
            <w:sz w:val="24"/>
            <w:szCs w:val="24"/>
            <w:u w:val="none"/>
          </w:rPr>
          <w:t>www.tax.kz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 </w:t>
      </w:r>
      <w:hyperlink r:id="rId8" w:history="1">
        <w:r w:rsidRPr="008E1F82">
          <w:rPr>
            <w:rStyle w:val="a8"/>
            <w:color w:val="auto"/>
            <w:sz w:val="24"/>
            <w:szCs w:val="24"/>
            <w:u w:val="none"/>
          </w:rPr>
          <w:t>www</w:t>
        </w:r>
        <w:r w:rsidRPr="008E1F82">
          <w:rPr>
            <w:rStyle w:val="a8"/>
            <w:color w:val="auto"/>
            <w:sz w:val="24"/>
            <w:szCs w:val="24"/>
            <w:u w:val="none"/>
            <w:lang w:val="uk-UA"/>
          </w:rPr>
          <w:t>.</w:t>
        </w:r>
        <w:r w:rsidRPr="008E1F82">
          <w:rPr>
            <w:rStyle w:val="a8"/>
            <w:color w:val="auto"/>
            <w:sz w:val="24"/>
            <w:szCs w:val="24"/>
            <w:u w:val="none"/>
          </w:rPr>
          <w:t>minfin.kz</w:t>
        </w:r>
      </w:hyperlink>
      <w:r w:rsidRPr="008E1F82">
        <w:rPr>
          <w:sz w:val="24"/>
          <w:szCs w:val="24"/>
        </w:rPr>
        <w:t xml:space="preserve"> </w:t>
      </w:r>
      <w:hyperlink r:id="rId9" w:history="1">
        <w:r w:rsidRPr="008E1F82">
          <w:rPr>
            <w:rStyle w:val="a8"/>
            <w:color w:val="auto"/>
            <w:sz w:val="24"/>
            <w:szCs w:val="24"/>
            <w:u w:val="none"/>
          </w:rPr>
          <w:t>www.k</w:t>
        </w:r>
        <w:r w:rsidRPr="008E1F82">
          <w:rPr>
            <w:rStyle w:val="a8"/>
            <w:rFonts w:eastAsiaTheme="minorEastAsia"/>
            <w:color w:val="auto"/>
            <w:sz w:val="24"/>
            <w:szCs w:val="24"/>
            <w:u w:val="none"/>
            <w:lang w:eastAsia="ko-KR"/>
          </w:rPr>
          <w:t>eden</w:t>
        </w:r>
        <w:r w:rsidRPr="008E1F82">
          <w:rPr>
            <w:rStyle w:val="a8"/>
            <w:color w:val="auto"/>
            <w:sz w:val="24"/>
            <w:szCs w:val="24"/>
            <w:u w:val="none"/>
          </w:rPr>
          <w:t>.kz</w:t>
        </w:r>
      </w:hyperlink>
      <w:r w:rsidRPr="008E1F82">
        <w:rPr>
          <w:rStyle w:val="shorttext"/>
          <w:sz w:val="24"/>
          <w:szCs w:val="24"/>
        </w:rPr>
        <w:t xml:space="preserve">; </w:t>
      </w:r>
      <w:hyperlink r:id="rId10" w:history="1">
        <w:r w:rsidRPr="008E1F82">
          <w:rPr>
            <w:rStyle w:val="a8"/>
            <w:color w:val="auto"/>
            <w:sz w:val="24"/>
            <w:szCs w:val="24"/>
            <w:u w:val="none"/>
          </w:rPr>
          <w:t>www.salyk.kz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, </w:t>
      </w:r>
      <w:r w:rsidRPr="008E1F82">
        <w:rPr>
          <w:rStyle w:val="shorttext"/>
          <w:sz w:val="24"/>
          <w:szCs w:val="24"/>
        </w:rPr>
        <w:t>сайттарының сараптамалық және деректемелік ақпараттары болуы қажет</w:t>
      </w:r>
      <w:r w:rsidRPr="008E1F82">
        <w:rPr>
          <w:sz w:val="24"/>
          <w:szCs w:val="24"/>
        </w:rPr>
        <w:t xml:space="preserve">. </w:t>
      </w:r>
      <w:r w:rsidRPr="008E1F82">
        <w:rPr>
          <w:rStyle w:val="shorttext"/>
          <w:sz w:val="24"/>
          <w:szCs w:val="24"/>
        </w:rPr>
        <w:t>Қаржы бойынша</w:t>
      </w:r>
      <w:r w:rsidRPr="008E1F82">
        <w:rPr>
          <w:rStyle w:val="shorttext"/>
          <w:b/>
          <w:sz w:val="24"/>
          <w:szCs w:val="24"/>
        </w:rPr>
        <w:t xml:space="preserve"> </w:t>
      </w:r>
      <w:r w:rsidRPr="008E1F82">
        <w:rPr>
          <w:rStyle w:val="shorttext"/>
          <w:sz w:val="24"/>
          <w:szCs w:val="24"/>
        </w:rPr>
        <w:t xml:space="preserve">қосымша оқу материалдары және </w:t>
      </w:r>
      <w:r w:rsidRPr="008E1F82">
        <w:rPr>
          <w:sz w:val="24"/>
          <w:szCs w:val="24"/>
        </w:rPr>
        <w:t>univer.kaznu.kz. жүйесінде ПОӘК бөліміндегі материалдар.</w:t>
      </w:r>
    </w:p>
    <w:p w:rsidR="00854BAA" w:rsidRPr="00854BAA" w:rsidRDefault="00854BAA">
      <w:pPr>
        <w:rPr>
          <w:sz w:val="28"/>
        </w:rPr>
        <w:sectPr w:rsidR="00854BAA" w:rsidRPr="00854BA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sectPr w:rsidR="001F3A67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3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A67"/>
    <w:rsid w:val="000A6ED2"/>
    <w:rsid w:val="001F3A67"/>
    <w:rsid w:val="00647EEA"/>
    <w:rsid w:val="007E5468"/>
    <w:rsid w:val="00854BAA"/>
    <w:rsid w:val="008E1F82"/>
    <w:rsid w:val="009F1E5C"/>
    <w:rsid w:val="00AB0AF1"/>
    <w:rsid w:val="00C7348E"/>
    <w:rsid w:val="00DC4F0F"/>
    <w:rsid w:val="00E40995"/>
    <w:rsid w:val="00F9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79527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limde.com/saliti-preferenciya-jene-oni-memleketti-investiciyali-sayasati.html" TargetMode="External"/><Relationship Id="rId10" Type="http://schemas.openxmlformats.org/officeDocument/2006/relationships/hyperlink" Target="http://www.saly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e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731</Words>
  <Characters>4173</Characters>
  <Application>Microsoft Office Word</Application>
  <DocSecurity>0</DocSecurity>
  <Lines>34</Lines>
  <Paragraphs>9</Paragraphs>
  <ScaleCrop>false</ScaleCrop>
  <Company>Grizli777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2021-09-28T15:34:00Z</dcterms:created>
  <dcterms:modified xsi:type="dcterms:W3CDTF">2021-09-28T16:17:00Z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